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CE544A" w:rsidRPr="00975B07" w14:paraId="0282DA35" w14:textId="77777777" w:rsidTr="005F7F7E">
        <w:tc>
          <w:tcPr>
            <w:tcW w:w="2438" w:type="dxa"/>
            <w:shd w:val="clear" w:color="auto" w:fill="auto"/>
          </w:tcPr>
          <w:p w14:paraId="6FFCE65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41D48E8" w14:textId="7E0F9836" w:rsidR="00F445B1" w:rsidRPr="00A54BFB" w:rsidRDefault="00427476" w:rsidP="005D0621">
            <w:pPr>
              <w:rPr>
                <w:b/>
                <w:color w:val="auto"/>
              </w:rPr>
            </w:pPr>
            <w:r>
              <w:rPr>
                <w:rStyle w:val="Firstpagetablebold"/>
                <w:color w:val="auto"/>
              </w:rPr>
              <w:t>11 December</w:t>
            </w:r>
            <w:r w:rsidR="00D13E7C" w:rsidRPr="00A54BFB">
              <w:rPr>
                <w:rStyle w:val="Firstpagetablebold"/>
                <w:color w:val="auto"/>
              </w:rPr>
              <w:t xml:space="preserve"> 2024</w:t>
            </w:r>
          </w:p>
        </w:tc>
      </w:tr>
      <w:tr w:rsidR="00CE544A" w:rsidRPr="00975B07" w14:paraId="40F45F8D" w14:textId="77777777" w:rsidTr="005F7F7E">
        <w:tc>
          <w:tcPr>
            <w:tcW w:w="2438" w:type="dxa"/>
            <w:shd w:val="clear" w:color="auto" w:fill="auto"/>
          </w:tcPr>
          <w:p w14:paraId="70F9C24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89ED8EA" w14:textId="53FD4498" w:rsidR="00F445B1" w:rsidRPr="00A54BFB" w:rsidRDefault="00EF2280" w:rsidP="004A6D2F">
            <w:pPr>
              <w:rPr>
                <w:rStyle w:val="Firstpagetablebold"/>
                <w:color w:val="auto"/>
              </w:rPr>
            </w:pPr>
            <w:r w:rsidRPr="00A54BFB">
              <w:rPr>
                <w:rStyle w:val="Firstpagetablebold"/>
                <w:color w:val="auto"/>
              </w:rPr>
              <w:t>Scrutiny Committee</w:t>
            </w:r>
          </w:p>
        </w:tc>
      </w:tr>
      <w:tr w:rsidR="00CE544A" w:rsidRPr="00975B07" w14:paraId="1BE9E8FF" w14:textId="77777777" w:rsidTr="005F7F7E">
        <w:tc>
          <w:tcPr>
            <w:tcW w:w="2438" w:type="dxa"/>
            <w:shd w:val="clear" w:color="auto" w:fill="auto"/>
          </w:tcPr>
          <w:p w14:paraId="7A02763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B7D2B10" w14:textId="226B0333" w:rsidR="00F445B1" w:rsidRPr="00A54BFB" w:rsidRDefault="00427476" w:rsidP="0078156F">
            <w:pPr>
              <w:rPr>
                <w:rStyle w:val="Firstpagetablebold"/>
                <w:color w:val="auto"/>
              </w:rPr>
            </w:pPr>
            <w:r w:rsidRPr="00427476">
              <w:rPr>
                <w:rStyle w:val="Firstpagetablebold"/>
                <w:color w:val="auto"/>
              </w:rPr>
              <w:t>Authority Monitoring Report and Infrastructure Funding Statement 2023/24</w:t>
            </w:r>
          </w:p>
        </w:tc>
      </w:tr>
    </w:tbl>
    <w:p w14:paraId="779C2C7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7948EB" w14:textId="77777777" w:rsidTr="0080749A">
        <w:tc>
          <w:tcPr>
            <w:tcW w:w="8845" w:type="dxa"/>
            <w:gridSpan w:val="2"/>
            <w:tcBorders>
              <w:bottom w:val="single" w:sz="8" w:space="0" w:color="000000"/>
            </w:tcBorders>
            <w:hideMark/>
          </w:tcPr>
          <w:p w14:paraId="3D63BDE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64A3497" w14:textId="07E483F9" w:rsidR="00D5547E" w:rsidRPr="001356F1" w:rsidRDefault="00EF2280" w:rsidP="005325E4">
            <w:r>
              <w:t xml:space="preserve">To </w:t>
            </w:r>
            <w:r w:rsidRPr="00A54BFB">
              <w:rPr>
                <w:color w:val="auto"/>
              </w:rPr>
              <w:t>present Scrutiny Committee</w:t>
            </w:r>
            <w:r w:rsidR="00F672BA" w:rsidRPr="00A54BFB">
              <w:rPr>
                <w:color w:val="auto"/>
              </w:rPr>
              <w:t xml:space="preserve"> </w:t>
            </w:r>
            <w:r>
              <w:t xml:space="preserve">recommendations </w:t>
            </w:r>
            <w:r w:rsidR="005325E4">
              <w:t>for Cabinet consideration and decision</w:t>
            </w:r>
          </w:p>
        </w:tc>
      </w:tr>
      <w:tr w:rsidR="00D5547E" w14:paraId="47CF3211" w14:textId="77777777" w:rsidTr="0080749A">
        <w:tc>
          <w:tcPr>
            <w:tcW w:w="2438" w:type="dxa"/>
            <w:tcBorders>
              <w:top w:val="nil"/>
              <w:left w:val="single" w:sz="8" w:space="0" w:color="000000"/>
              <w:bottom w:val="nil"/>
              <w:right w:val="nil"/>
            </w:tcBorders>
            <w:hideMark/>
          </w:tcPr>
          <w:p w14:paraId="5F6908DC" w14:textId="77777777" w:rsidR="00D5547E" w:rsidRDefault="00D5547E">
            <w:pPr>
              <w:rPr>
                <w:rStyle w:val="Firstpagetablebold"/>
              </w:rPr>
            </w:pPr>
            <w:r>
              <w:rPr>
                <w:rStyle w:val="Firstpagetablebold"/>
              </w:rPr>
              <w:t>Key decision:</w:t>
            </w:r>
          </w:p>
          <w:p w14:paraId="5B85D675" w14:textId="77777777" w:rsidR="001D14DE" w:rsidRDefault="001D14DE">
            <w:pPr>
              <w:rPr>
                <w:rStyle w:val="Firstpagetablebold"/>
              </w:rPr>
            </w:pPr>
            <w:r>
              <w:rPr>
                <w:rStyle w:val="Firstpagetablebold"/>
              </w:rPr>
              <w:t>Scrutiny Lead Member:</w:t>
            </w:r>
          </w:p>
        </w:tc>
        <w:tc>
          <w:tcPr>
            <w:tcW w:w="6407" w:type="dxa"/>
            <w:tcBorders>
              <w:top w:val="nil"/>
              <w:left w:val="nil"/>
              <w:bottom w:val="nil"/>
              <w:right w:val="single" w:sz="8" w:space="0" w:color="000000"/>
            </w:tcBorders>
            <w:hideMark/>
          </w:tcPr>
          <w:p w14:paraId="38812DFB" w14:textId="600D2D58" w:rsidR="00D5547E" w:rsidRPr="00A54BFB" w:rsidRDefault="004B5EC0" w:rsidP="005F7F7E">
            <w:pPr>
              <w:rPr>
                <w:bCs/>
                <w:color w:val="auto"/>
              </w:rPr>
            </w:pPr>
            <w:r w:rsidRPr="00A54BFB">
              <w:rPr>
                <w:bCs/>
                <w:color w:val="auto"/>
              </w:rPr>
              <w:t>No</w:t>
            </w:r>
          </w:p>
          <w:p w14:paraId="4ECDCA1A" w14:textId="08AA47D6" w:rsidR="001D14DE" w:rsidRPr="001356F1" w:rsidRDefault="001D14DE" w:rsidP="005325E4">
            <w:r>
              <w:t>Councillor</w:t>
            </w:r>
            <w:r w:rsidR="00B65FDA">
              <w:t xml:space="preserve"> Katherine Miles</w:t>
            </w:r>
            <w:r w:rsidR="005325E4">
              <w:t xml:space="preserve">, </w:t>
            </w:r>
            <w:r w:rsidR="00F46ABF">
              <w:t xml:space="preserve">Chair of the </w:t>
            </w:r>
            <w:r w:rsidR="005325E4">
              <w:t>Scrutiny Committee</w:t>
            </w:r>
          </w:p>
        </w:tc>
      </w:tr>
      <w:tr w:rsidR="00D5547E" w14:paraId="4D2B1785" w14:textId="77777777" w:rsidTr="0080749A">
        <w:tc>
          <w:tcPr>
            <w:tcW w:w="2438" w:type="dxa"/>
            <w:tcBorders>
              <w:top w:val="nil"/>
              <w:left w:val="single" w:sz="8" w:space="0" w:color="000000"/>
              <w:bottom w:val="nil"/>
              <w:right w:val="nil"/>
            </w:tcBorders>
            <w:hideMark/>
          </w:tcPr>
          <w:p w14:paraId="72C0A238" w14:textId="77777777" w:rsidR="00D5547E" w:rsidRPr="00EF2280" w:rsidRDefault="005325E4">
            <w:pPr>
              <w:rPr>
                <w:rStyle w:val="Firstpagetablebold"/>
              </w:rPr>
            </w:pPr>
            <w:r>
              <w:rPr>
                <w:rStyle w:val="Firstpagetablebold"/>
              </w:rPr>
              <w:t>Cabinet</w:t>
            </w:r>
            <w:r w:rsidR="00D5547E" w:rsidRPr="00EF2280">
              <w:rPr>
                <w:rStyle w:val="Firstpagetablebold"/>
              </w:rPr>
              <w:t xml:space="preserve"> Member:</w:t>
            </w:r>
          </w:p>
        </w:tc>
        <w:tc>
          <w:tcPr>
            <w:tcW w:w="6407" w:type="dxa"/>
            <w:tcBorders>
              <w:top w:val="nil"/>
              <w:left w:val="nil"/>
              <w:bottom w:val="nil"/>
              <w:right w:val="single" w:sz="8" w:space="0" w:color="000000"/>
            </w:tcBorders>
            <w:hideMark/>
          </w:tcPr>
          <w:p w14:paraId="631C3BB2" w14:textId="1FA33546" w:rsidR="00D5547E" w:rsidRPr="00EF2280" w:rsidRDefault="005672D1" w:rsidP="00D64D4E">
            <w:pPr>
              <w:spacing w:after="0"/>
            </w:pPr>
            <w:r>
              <w:t xml:space="preserve">Councillor </w:t>
            </w:r>
            <w:r w:rsidR="00D64D4E">
              <w:t>Louise Upton</w:t>
            </w:r>
            <w:r>
              <w:t xml:space="preserve">, Cabinet Member for </w:t>
            </w:r>
            <w:r w:rsidR="00D64D4E">
              <w:t>Planning</w:t>
            </w:r>
          </w:p>
        </w:tc>
      </w:tr>
      <w:tr w:rsidR="0080749A" w14:paraId="267A0B2D" w14:textId="77777777" w:rsidTr="0080749A">
        <w:tc>
          <w:tcPr>
            <w:tcW w:w="2438" w:type="dxa"/>
            <w:tcBorders>
              <w:top w:val="nil"/>
              <w:left w:val="single" w:sz="8" w:space="0" w:color="000000"/>
              <w:bottom w:val="nil"/>
              <w:right w:val="nil"/>
            </w:tcBorders>
          </w:tcPr>
          <w:p w14:paraId="09322CD3" w14:textId="77777777" w:rsidR="0080749A" w:rsidRPr="004E26E4" w:rsidRDefault="0080749A">
            <w:pPr>
              <w:rPr>
                <w:rStyle w:val="Firstpagetablebold"/>
                <w:color w:val="auto"/>
              </w:rPr>
            </w:pPr>
            <w:r w:rsidRPr="004E26E4">
              <w:rPr>
                <w:rStyle w:val="Firstpagetablebold"/>
                <w:color w:val="auto"/>
              </w:rPr>
              <w:t>Corporate Priority:</w:t>
            </w:r>
          </w:p>
        </w:tc>
        <w:tc>
          <w:tcPr>
            <w:tcW w:w="6407" w:type="dxa"/>
            <w:tcBorders>
              <w:top w:val="nil"/>
              <w:left w:val="nil"/>
              <w:bottom w:val="nil"/>
              <w:right w:val="single" w:sz="8" w:space="0" w:color="000000"/>
            </w:tcBorders>
          </w:tcPr>
          <w:p w14:paraId="64EE5685" w14:textId="4AC18F7E" w:rsidR="0080749A" w:rsidRPr="004E26E4" w:rsidRDefault="004E26E4" w:rsidP="005F7F7E">
            <w:pPr>
              <w:rPr>
                <w:bCs/>
                <w:color w:val="auto"/>
              </w:rPr>
            </w:pPr>
            <w:r w:rsidRPr="004E26E4">
              <w:rPr>
                <w:bCs/>
                <w:color w:val="auto"/>
              </w:rPr>
              <w:t>All</w:t>
            </w:r>
          </w:p>
        </w:tc>
      </w:tr>
      <w:tr w:rsidR="00D5547E" w14:paraId="3B4F97F8" w14:textId="77777777" w:rsidTr="0080749A">
        <w:tc>
          <w:tcPr>
            <w:tcW w:w="2438" w:type="dxa"/>
            <w:tcBorders>
              <w:top w:val="nil"/>
              <w:left w:val="single" w:sz="8" w:space="0" w:color="000000"/>
              <w:bottom w:val="nil"/>
              <w:right w:val="nil"/>
            </w:tcBorders>
            <w:hideMark/>
          </w:tcPr>
          <w:p w14:paraId="330B958A" w14:textId="77777777" w:rsidR="00D5547E" w:rsidRPr="004E26E4" w:rsidRDefault="00D5547E">
            <w:pPr>
              <w:rPr>
                <w:rStyle w:val="Firstpagetablebold"/>
                <w:color w:val="auto"/>
              </w:rPr>
            </w:pPr>
            <w:r w:rsidRPr="004E26E4">
              <w:rPr>
                <w:rStyle w:val="Firstpagetablebold"/>
                <w:color w:val="auto"/>
              </w:rPr>
              <w:t>Policy Framework:</w:t>
            </w:r>
          </w:p>
        </w:tc>
        <w:tc>
          <w:tcPr>
            <w:tcW w:w="6407" w:type="dxa"/>
            <w:tcBorders>
              <w:top w:val="nil"/>
              <w:left w:val="nil"/>
              <w:bottom w:val="nil"/>
              <w:right w:val="single" w:sz="8" w:space="0" w:color="000000"/>
            </w:tcBorders>
            <w:hideMark/>
          </w:tcPr>
          <w:p w14:paraId="5E74A0F4" w14:textId="54720313" w:rsidR="00D5547E" w:rsidRPr="004E26E4" w:rsidRDefault="00D64D4E" w:rsidP="008F3A4D">
            <w:pPr>
              <w:rPr>
                <w:bCs/>
                <w:color w:val="auto"/>
              </w:rPr>
            </w:pPr>
            <w:r>
              <w:rPr>
                <w:bCs/>
                <w:color w:val="auto"/>
              </w:rPr>
              <w:t>All</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7E348190" w14:textId="4AB51875" w:rsidR="00F672BA" w:rsidRDefault="00EF2280" w:rsidP="00427476">
      <w:pPr>
        <w:pStyle w:val="ListParagraph"/>
        <w:tabs>
          <w:tab w:val="clear" w:pos="426"/>
        </w:tabs>
      </w:pPr>
      <w:r>
        <w:t>The</w:t>
      </w:r>
      <w:r w:rsidR="006A6A71">
        <w:t xml:space="preserve"> Scrutiny Committee met on </w:t>
      </w:r>
      <w:r w:rsidR="00D957B3">
        <w:t>2 December</w:t>
      </w:r>
      <w:r w:rsidR="006A6A71">
        <w:t xml:space="preserve"> 2024 to consider </w:t>
      </w:r>
      <w:r w:rsidR="006A4FE8">
        <w:t>the</w:t>
      </w:r>
      <w:r w:rsidR="006A6A71">
        <w:t xml:space="preserve"> </w:t>
      </w:r>
      <w:r w:rsidR="006A4FE8">
        <w:t>Authority Monitoring Report and Infrastructure</w:t>
      </w:r>
      <w:r w:rsidR="006A4FE8">
        <w:t xml:space="preserve"> </w:t>
      </w:r>
      <w:r w:rsidR="006A4FE8">
        <w:t>Funding Statement 2023/24</w:t>
      </w:r>
      <w:r w:rsidR="000D70CD">
        <w:t>. The report</w:t>
      </w:r>
      <w:r w:rsidR="00712C94">
        <w:t xml:space="preserve">, which </w:t>
      </w:r>
      <w:r w:rsidR="000D70CD">
        <w:t>is</w:t>
      </w:r>
      <w:r w:rsidR="00712C94">
        <w:t xml:space="preserve"> due for Cabinet </w:t>
      </w:r>
      <w:r w:rsidR="000D70CD">
        <w:t xml:space="preserve">consideration </w:t>
      </w:r>
      <w:r w:rsidR="00712C94">
        <w:t>on 11 December 2024</w:t>
      </w:r>
      <w:r w:rsidR="000D70CD">
        <w:t>, recommends that Cabinet</w:t>
      </w:r>
      <w:r w:rsidR="00B65046">
        <w:t xml:space="preserve"> a</w:t>
      </w:r>
      <w:r w:rsidR="00B65046">
        <w:t>pprove</w:t>
      </w:r>
      <w:r w:rsidR="00B65046">
        <w:t>s</w:t>
      </w:r>
      <w:r w:rsidR="00B65046">
        <w:t xml:space="preserve"> the Authority Monitoring Report and Infrastructure Funding</w:t>
      </w:r>
      <w:r w:rsidR="00B65046">
        <w:t xml:space="preserve"> </w:t>
      </w:r>
      <w:r w:rsidR="00B65046">
        <w:t>Statement 2023/24 for publication</w:t>
      </w:r>
      <w:r w:rsidR="00B65046">
        <w:t>, and a</w:t>
      </w:r>
      <w:r w:rsidR="00B65046">
        <w:t>uthorise the Head of Planning and Regulatory Services to make any</w:t>
      </w:r>
      <w:r w:rsidR="00B65046">
        <w:t xml:space="preserve"> </w:t>
      </w:r>
      <w:r w:rsidR="00B65046">
        <w:t>necessary minor corrections not materially affecting the document prior to</w:t>
      </w:r>
      <w:r w:rsidR="00B65046">
        <w:t xml:space="preserve"> </w:t>
      </w:r>
      <w:r w:rsidR="00B65046">
        <w:t>publication.</w:t>
      </w:r>
    </w:p>
    <w:p w14:paraId="3F5B5DCF" w14:textId="3F26290B" w:rsidR="00E87F7A" w:rsidRDefault="008F3A4D" w:rsidP="00427476">
      <w:pPr>
        <w:pStyle w:val="ListParagraph"/>
        <w:tabs>
          <w:tab w:val="clear" w:pos="426"/>
        </w:tabs>
      </w:pPr>
      <w:r w:rsidRPr="008F3A4D">
        <w:t>The</w:t>
      </w:r>
      <w:r w:rsidR="0011365B">
        <w:t xml:space="preserve"> Committee is grateful to </w:t>
      </w:r>
      <w:r w:rsidR="0078156F" w:rsidRPr="00B269BE">
        <w:t>Councillor</w:t>
      </w:r>
      <w:r w:rsidR="00BC5B8F" w:rsidRPr="00B269BE">
        <w:t xml:space="preserve"> </w:t>
      </w:r>
      <w:r w:rsidR="00B65046">
        <w:t>Louise Upton</w:t>
      </w:r>
      <w:r w:rsidR="00BC5B8F" w:rsidRPr="00427476">
        <w:rPr>
          <w:color w:val="auto"/>
        </w:rPr>
        <w:t xml:space="preserve"> (Cabinet </w:t>
      </w:r>
      <w:r w:rsidR="00BC5B8F" w:rsidRPr="00B269BE">
        <w:t xml:space="preserve">Member for </w:t>
      </w:r>
      <w:r w:rsidR="00B65046">
        <w:t>Planning</w:t>
      </w:r>
      <w:r w:rsidR="00BC5B8F" w:rsidRPr="00B269BE">
        <w:t>)</w:t>
      </w:r>
      <w:r w:rsidR="00C10333" w:rsidRPr="00B269BE">
        <w:t>,</w:t>
      </w:r>
      <w:r w:rsidR="00427476">
        <w:t xml:space="preserve"> </w:t>
      </w:r>
      <w:r w:rsidR="00427476">
        <w:t xml:space="preserve">David Butler </w:t>
      </w:r>
      <w:r w:rsidR="00427476">
        <w:t>(</w:t>
      </w:r>
      <w:r w:rsidR="00427476">
        <w:t>Head of Planning and Regulatory Service</w:t>
      </w:r>
      <w:r w:rsidR="00427476">
        <w:t xml:space="preserve">), </w:t>
      </w:r>
      <w:r w:rsidR="00427476">
        <w:t>Sarah Harrison</w:t>
      </w:r>
      <w:r w:rsidR="00427476">
        <w:t xml:space="preserve"> (</w:t>
      </w:r>
      <w:r w:rsidR="00427476">
        <w:t>Planning Policy Team Leader)</w:t>
      </w:r>
      <w:r w:rsidR="00427476">
        <w:t xml:space="preserve">, </w:t>
      </w:r>
      <w:r w:rsidR="00427476">
        <w:t>Lorraine Freeman</w:t>
      </w:r>
      <w:r w:rsidR="00427476">
        <w:t xml:space="preserve"> (</w:t>
      </w:r>
      <w:r w:rsidR="00427476">
        <w:t>CIL, Data Analysis and Reporting Team Leader</w:t>
      </w:r>
      <w:r w:rsidR="00427476">
        <w:t>) and</w:t>
      </w:r>
      <w:r w:rsidR="00427476">
        <w:t xml:space="preserve"> Rachel Nixon</w:t>
      </w:r>
      <w:r w:rsidR="00427476">
        <w:t xml:space="preserve"> (</w:t>
      </w:r>
      <w:r w:rsidR="00427476">
        <w:t>Principal Planner)</w:t>
      </w:r>
      <w:r w:rsidR="00B269BE" w:rsidRPr="00B269BE">
        <w:t xml:space="preserve"> </w:t>
      </w:r>
      <w:r w:rsidR="0078156F" w:rsidRPr="00B269BE">
        <w:t xml:space="preserve">for attending the meeting to </w:t>
      </w:r>
      <w:r w:rsidR="00025603" w:rsidRPr="00B269BE">
        <w:t>answer questions.</w:t>
      </w:r>
      <w:r w:rsidR="00F748C7">
        <w:br/>
      </w:r>
    </w:p>
    <w:p w14:paraId="2F2AA8A4" w14:textId="77777777" w:rsidR="004B1479" w:rsidRDefault="000A2D16" w:rsidP="00427476">
      <w:pPr>
        <w:pStyle w:val="Heading1"/>
        <w:spacing w:after="0"/>
        <w:rPr>
          <w:color w:val="auto"/>
        </w:rPr>
      </w:pPr>
      <w:r w:rsidRPr="00C744C9">
        <w:rPr>
          <w:color w:val="auto"/>
        </w:rPr>
        <w:lastRenderedPageBreak/>
        <w:t>Summary and recommendations</w:t>
      </w:r>
    </w:p>
    <w:p w14:paraId="12945846" w14:textId="77777777" w:rsidR="004B1479" w:rsidRPr="004B1479" w:rsidRDefault="004B1479" w:rsidP="00427476">
      <w:pPr>
        <w:spacing w:after="0"/>
      </w:pPr>
    </w:p>
    <w:p w14:paraId="27EAD56B" w14:textId="4FFD389B" w:rsidR="00025603" w:rsidRPr="00427476" w:rsidRDefault="00152EFF" w:rsidP="00427476">
      <w:pPr>
        <w:pStyle w:val="ListParagraph"/>
        <w:tabs>
          <w:tab w:val="clear" w:pos="426"/>
        </w:tabs>
        <w:rPr>
          <w:rFonts w:ascii="Arial-BoldMT" w:hAnsi="Arial-BoldMT" w:cs="Arial-BoldMT"/>
          <w:bCs/>
        </w:rPr>
      </w:pPr>
      <w:r>
        <w:t xml:space="preserve">Councillor </w:t>
      </w:r>
      <w:r w:rsidR="00427476">
        <w:t>Louise Upton</w:t>
      </w:r>
      <w:r w:rsidRPr="00B5202F">
        <w:rPr>
          <w:color w:val="auto"/>
        </w:rPr>
        <w:t xml:space="preserve">, Cabinet </w:t>
      </w:r>
      <w:r w:rsidRPr="00B269BE">
        <w:t>Member for</w:t>
      </w:r>
      <w:r w:rsidR="00427476">
        <w:t xml:space="preserve"> Planning </w:t>
      </w:r>
      <w:r w:rsidR="00025603">
        <w:t xml:space="preserve">introduced </w:t>
      </w:r>
      <w:r w:rsidR="00025603" w:rsidRPr="00B5202F">
        <w:rPr>
          <w:color w:val="auto"/>
        </w:rPr>
        <w:t xml:space="preserve">the report. </w:t>
      </w:r>
    </w:p>
    <w:p w14:paraId="16CCCF82" w14:textId="6B49654C" w:rsidR="004A03E8" w:rsidRPr="00D9194E" w:rsidRDefault="00025603" w:rsidP="00772142">
      <w:pPr>
        <w:pStyle w:val="ListParagraph"/>
        <w:tabs>
          <w:tab w:val="clear" w:pos="426"/>
        </w:tabs>
        <w:rPr>
          <w:rFonts w:ascii="Arial-BoldMT" w:hAnsi="Arial-BoldMT" w:cs="Arial-BoldMT"/>
          <w:bCs/>
        </w:rPr>
      </w:pPr>
      <w:r w:rsidRPr="00427476">
        <w:rPr>
          <w:color w:val="auto"/>
        </w:rPr>
        <w:t>The</w:t>
      </w:r>
      <w:r w:rsidR="00B5202F" w:rsidRPr="00427476">
        <w:rPr>
          <w:color w:val="auto"/>
        </w:rPr>
        <w:t xml:space="preserve"> Committee </w:t>
      </w:r>
      <w:r w:rsidRPr="00427476">
        <w:rPr>
          <w:color w:val="auto"/>
        </w:rPr>
        <w:t xml:space="preserve">asked </w:t>
      </w:r>
      <w:r w:rsidR="00B90B3E">
        <w:rPr>
          <w:color w:val="auto"/>
        </w:rPr>
        <w:t>a range of</w:t>
      </w:r>
      <w:r w:rsidRPr="00427476">
        <w:rPr>
          <w:color w:val="auto"/>
        </w:rPr>
        <w:t xml:space="preserve"> questions, including </w:t>
      </w:r>
      <w:r w:rsidR="004A03E8">
        <w:rPr>
          <w:color w:val="auto"/>
        </w:rPr>
        <w:t>those related to the use of existing student accommodations</w:t>
      </w:r>
      <w:r w:rsidR="00FD0370">
        <w:rPr>
          <w:color w:val="auto"/>
        </w:rPr>
        <w:t xml:space="preserve">, </w:t>
      </w:r>
      <w:r w:rsidR="00C76EE3">
        <w:rPr>
          <w:color w:val="auto"/>
        </w:rPr>
        <w:t>the</w:t>
      </w:r>
      <w:r w:rsidR="004A03E8">
        <w:rPr>
          <w:color w:val="auto"/>
        </w:rPr>
        <w:t xml:space="preserve"> broader implications</w:t>
      </w:r>
      <w:r w:rsidR="00C76EE3">
        <w:rPr>
          <w:color w:val="auto"/>
        </w:rPr>
        <w:t xml:space="preserve"> of student housing on private rental sector</w:t>
      </w:r>
      <w:r w:rsidR="00FD0370">
        <w:rPr>
          <w:color w:val="auto"/>
        </w:rPr>
        <w:t xml:space="preserve">, and </w:t>
      </w:r>
      <w:r w:rsidR="00FD0370">
        <w:rPr>
          <w:color w:val="auto"/>
        </w:rPr>
        <w:t>about financial and policy issues, including the potential for levies on higher education institutions to offset costs associated with students living out of student accommodations</w:t>
      </w:r>
      <w:r w:rsidR="00C76EE3">
        <w:rPr>
          <w:color w:val="auto"/>
        </w:rPr>
        <w:t>. Questions were also raised</w:t>
      </w:r>
      <w:r w:rsidR="00EC27A2">
        <w:rPr>
          <w:color w:val="auto"/>
        </w:rPr>
        <w:t xml:space="preserve"> about</w:t>
      </w:r>
      <w:r w:rsidR="00D9194E">
        <w:rPr>
          <w:color w:val="auto"/>
        </w:rPr>
        <w:t xml:space="preserve"> the impact of policy gaps in the Local Plan post-2026, </w:t>
      </w:r>
      <w:r w:rsidR="003F24CA">
        <w:rPr>
          <w:color w:val="auto"/>
        </w:rPr>
        <w:t>str</w:t>
      </w:r>
      <w:r w:rsidR="00D9194E">
        <w:rPr>
          <w:color w:val="auto"/>
        </w:rPr>
        <w:t>ategies to maximise housing targets</w:t>
      </w:r>
      <w:r w:rsidR="00EC27A2">
        <w:rPr>
          <w:color w:val="auto"/>
        </w:rPr>
        <w:t>,</w:t>
      </w:r>
      <w:r w:rsidR="00EC27A2" w:rsidRPr="00EC27A2">
        <w:t xml:space="preserve"> </w:t>
      </w:r>
      <w:r w:rsidR="00EC27A2" w:rsidRPr="00EC27A2">
        <w:rPr>
          <w:color w:val="auto"/>
        </w:rPr>
        <w:t>barriers to delivering extra care facilities and the effective use of Community Infrastructure Levy (CIL) funds</w:t>
      </w:r>
      <w:r w:rsidR="00D9194E">
        <w:rPr>
          <w:color w:val="auto"/>
        </w:rPr>
        <w:t>.</w:t>
      </w:r>
    </w:p>
    <w:p w14:paraId="0C08866A" w14:textId="76FDCED5" w:rsidR="00A211CB" w:rsidRPr="003D0218" w:rsidRDefault="006D51A2" w:rsidP="003D0218">
      <w:pPr>
        <w:pStyle w:val="ListParagraph"/>
        <w:tabs>
          <w:tab w:val="clear" w:pos="426"/>
        </w:tabs>
        <w:rPr>
          <w:rFonts w:ascii="Arial-BoldMT" w:hAnsi="Arial-BoldMT" w:cs="Arial-BoldMT"/>
          <w:bCs/>
        </w:rPr>
      </w:pPr>
      <w:r>
        <w:rPr>
          <w:color w:val="auto"/>
        </w:rPr>
        <w:t xml:space="preserve">In particular, the </w:t>
      </w:r>
      <w:r w:rsidR="00963F35">
        <w:rPr>
          <w:color w:val="auto"/>
        </w:rPr>
        <w:t>discussion</w:t>
      </w:r>
      <w:r>
        <w:rPr>
          <w:color w:val="auto"/>
        </w:rPr>
        <w:t xml:space="preserve"> </w:t>
      </w:r>
      <w:r w:rsidR="00963F35">
        <w:rPr>
          <w:color w:val="auto"/>
        </w:rPr>
        <w:t xml:space="preserve">centred on the need for better data and monitoring of student accommodation use, </w:t>
      </w:r>
      <w:r w:rsidR="00984E13">
        <w:rPr>
          <w:color w:val="auto"/>
        </w:rPr>
        <w:t>specifically</w:t>
      </w:r>
      <w:r w:rsidR="00963F35">
        <w:rPr>
          <w:color w:val="auto"/>
        </w:rPr>
        <w:t xml:space="preserve"> in relation to the extent of unmet demand and the reliance on family housing and HMOs for student accommodation. The Committee highlighted concerns about the pressures this demand places on the private rental market and the associated loss of family homes. </w:t>
      </w:r>
      <w:r w:rsidR="00D46194">
        <w:rPr>
          <w:color w:val="auto"/>
        </w:rPr>
        <w:t xml:space="preserve">The Committee was of the view that universities need to take greater responsibility for addressing accommodation needs, including making better use of their existing land holdings. </w:t>
      </w:r>
    </w:p>
    <w:p w14:paraId="2E22FDA8" w14:textId="76001CB7" w:rsidR="00400522" w:rsidRPr="00B3545A" w:rsidRDefault="00400522" w:rsidP="00427476">
      <w:pPr>
        <w:pStyle w:val="ListParagraph"/>
        <w:tabs>
          <w:tab w:val="clear" w:pos="426"/>
        </w:tabs>
        <w:rPr>
          <w:rFonts w:ascii="Arial-BoldMT" w:hAnsi="Arial-BoldMT" w:cs="Arial-BoldMT"/>
          <w:bCs/>
        </w:rPr>
      </w:pPr>
      <w:r>
        <w:rPr>
          <w:color w:val="auto"/>
        </w:rPr>
        <w:t xml:space="preserve">The Committee recognised that addressing unmet student accommodation demand requires transparency and robust data. </w:t>
      </w:r>
      <w:r w:rsidR="002C1B23">
        <w:rPr>
          <w:color w:val="auto"/>
        </w:rPr>
        <w:t xml:space="preserve">The Committee felt that including comprehensive information on unmet demand and sites </w:t>
      </w:r>
      <w:r w:rsidR="0073565D">
        <w:rPr>
          <w:color w:val="auto"/>
        </w:rPr>
        <w:t>identified or proposed by universities in the Authority Monitoring Report would enhance accountability and enable better planning</w:t>
      </w:r>
      <w:r w:rsidR="00337348">
        <w:rPr>
          <w:color w:val="auto"/>
        </w:rPr>
        <w:t xml:space="preserve">, </w:t>
      </w:r>
      <w:r w:rsidR="00337348" w:rsidRPr="00337348">
        <w:rPr>
          <w:color w:val="auto"/>
        </w:rPr>
        <w:t>reflect</w:t>
      </w:r>
      <w:r w:rsidR="00337348">
        <w:rPr>
          <w:color w:val="auto"/>
        </w:rPr>
        <w:t xml:space="preserve">ing </w:t>
      </w:r>
      <w:r w:rsidR="00337348" w:rsidRPr="00337348">
        <w:rPr>
          <w:color w:val="auto"/>
        </w:rPr>
        <w:t>the Committee’s commitment to ensuring that the Council has a clear understanding of accommodation needs and the measures being taken to meet them.</w:t>
      </w:r>
      <w:r w:rsidR="00B3545A">
        <w:rPr>
          <w:color w:val="auto"/>
        </w:rPr>
        <w:br/>
      </w:r>
    </w:p>
    <w:p w14:paraId="150E0104" w14:textId="7B742D18" w:rsidR="00B3545A" w:rsidRDefault="00B3545A" w:rsidP="00B3545A">
      <w:pPr>
        <w:pStyle w:val="ListParagraph"/>
        <w:numPr>
          <w:ilvl w:val="0"/>
          <w:numId w:val="0"/>
        </w:numPr>
        <w:tabs>
          <w:tab w:val="clear" w:pos="426"/>
        </w:tabs>
        <w:ind w:left="360"/>
        <w:rPr>
          <w:rFonts w:ascii="Arial-BoldMT" w:hAnsi="Arial-BoldMT" w:cs="Arial-BoldMT"/>
          <w:b/>
          <w:i/>
          <w:iCs/>
        </w:rPr>
      </w:pPr>
      <w:r w:rsidRPr="00B3545A">
        <w:rPr>
          <w:rFonts w:ascii="Arial-BoldMT" w:hAnsi="Arial-BoldMT" w:cs="Arial-BoldMT"/>
          <w:b/>
          <w:i/>
          <w:iCs/>
        </w:rPr>
        <w:t xml:space="preserve">Recommendation 1:  </w:t>
      </w:r>
      <w:r w:rsidRPr="00B3545A">
        <w:rPr>
          <w:rFonts w:ascii="Arial-BoldMT" w:hAnsi="Arial-BoldMT" w:cs="Arial-BoldMT"/>
          <w:b/>
          <w:i/>
          <w:iCs/>
        </w:rPr>
        <w:t>That Cabinet ensures that comprehensive data on unmet student accommodation demand from universities, alongside details of sites identified or proposed by these institutions to address their accommodation requirements, are included in future reporting of the Authority Monitoring report.</w:t>
      </w:r>
    </w:p>
    <w:p w14:paraId="26F71FDB" w14:textId="77777777" w:rsidR="00B3545A" w:rsidRDefault="00B3545A" w:rsidP="00B3545A">
      <w:pPr>
        <w:pStyle w:val="ListParagraph"/>
        <w:numPr>
          <w:ilvl w:val="0"/>
          <w:numId w:val="0"/>
        </w:numPr>
        <w:tabs>
          <w:tab w:val="clear" w:pos="426"/>
        </w:tabs>
        <w:ind w:left="360"/>
        <w:rPr>
          <w:rFonts w:ascii="Arial-BoldMT" w:hAnsi="Arial-BoldMT" w:cs="Arial-BoldMT"/>
          <w:b/>
        </w:rPr>
      </w:pPr>
    </w:p>
    <w:p w14:paraId="6E7C87C6" w14:textId="32CE4C44" w:rsidR="0071501A" w:rsidRDefault="0071501A" w:rsidP="0071501A">
      <w:pPr>
        <w:pStyle w:val="ListParagraph"/>
      </w:pPr>
      <w:r>
        <w:t xml:space="preserve">In addition, the Committee </w:t>
      </w:r>
      <w:r w:rsidR="00B0050F">
        <w:t>expressed</w:t>
      </w:r>
      <w:r>
        <w:t xml:space="preserve"> concerns about the effective use of university-owned land, particularly </w:t>
      </w:r>
      <w:r w:rsidR="00584B9C">
        <w:t xml:space="preserve">at or </w:t>
      </w:r>
      <w:r>
        <w:t>near</w:t>
      </w:r>
      <w:r w:rsidR="00584B9C">
        <w:t xml:space="preserve"> city boundaries, </w:t>
      </w:r>
      <w:r w:rsidR="00B0050F">
        <w:t>to address accommodation needs</w:t>
      </w:r>
      <w:r w:rsidR="00584B9C">
        <w:t xml:space="preserve">. </w:t>
      </w:r>
      <w:r w:rsidR="00E715EF">
        <w:t>The Committee</w:t>
      </w:r>
      <w:r w:rsidR="00584B9C">
        <w:t xml:space="preserve"> highlighted th</w:t>
      </w:r>
      <w:r w:rsidR="00E715EF">
        <w:t>e</w:t>
      </w:r>
      <w:r w:rsidR="00584B9C">
        <w:t xml:space="preserve"> universities</w:t>
      </w:r>
      <w:r w:rsidR="00E715EF">
        <w:t>’</w:t>
      </w:r>
      <w:r w:rsidR="00584B9C">
        <w:t xml:space="preserve"> role in </w:t>
      </w:r>
      <w:r w:rsidR="00E715EF">
        <w:t>alleviating</w:t>
      </w:r>
      <w:r w:rsidR="00584B9C">
        <w:t xml:space="preserve"> pressu</w:t>
      </w:r>
      <w:r w:rsidR="001B18B0">
        <w:t>r</w:t>
      </w:r>
      <w:r w:rsidR="00584B9C">
        <w:t>es on the private rental market by utilising thei</w:t>
      </w:r>
      <w:r w:rsidR="001B18B0">
        <w:t xml:space="preserve">r </w:t>
      </w:r>
      <w:r w:rsidR="00584B9C">
        <w:t xml:space="preserve">land assets strategically. </w:t>
      </w:r>
      <w:r w:rsidR="00BD2DA6">
        <w:t xml:space="preserve">It was therefore suggested that Council </w:t>
      </w:r>
      <w:r w:rsidR="009377F9">
        <w:t>collaborates</w:t>
      </w:r>
      <w:r w:rsidR="00BD2DA6">
        <w:t xml:space="preserve"> with </w:t>
      </w:r>
      <w:r w:rsidR="00F4031E">
        <w:t>the</w:t>
      </w:r>
      <w:r w:rsidR="009377F9">
        <w:t>se</w:t>
      </w:r>
      <w:r w:rsidR="00F4031E">
        <w:t xml:space="preserve"> institutions</w:t>
      </w:r>
      <w:r w:rsidR="00BD2DA6">
        <w:t xml:space="preserve"> to ensure their land holdings</w:t>
      </w:r>
      <w:r w:rsidR="00A81C9D">
        <w:t xml:space="preserve">, including those near city boundaries, </w:t>
      </w:r>
      <w:r w:rsidR="009377F9">
        <w:t>ar</w:t>
      </w:r>
      <w:r w:rsidR="00A81C9D">
        <w:t>e used effectively to meet unmet accommodation demands</w:t>
      </w:r>
      <w:r w:rsidR="00FA28F2">
        <w:t>, and that Council</w:t>
      </w:r>
      <w:r w:rsidR="004F01EC">
        <w:t xml:space="preserve"> should encourage</w:t>
      </w:r>
      <w:r w:rsidR="00FA28F2">
        <w:t xml:space="preserve"> </w:t>
      </w:r>
      <w:proofErr w:type="spellStart"/>
      <w:r w:rsidR="00FA28F2">
        <w:t>the</w:t>
      </w:r>
      <w:proofErr w:type="spellEnd"/>
      <w:r w:rsidR="004F01EC">
        <w:t xml:space="preserve"> universities</w:t>
      </w:r>
      <w:r w:rsidR="00FA28F2">
        <w:t xml:space="preserve"> to disclose </w:t>
      </w:r>
      <w:r w:rsidR="004F01EC">
        <w:t xml:space="preserve">their </w:t>
      </w:r>
      <w:r w:rsidR="00FA28F2">
        <w:t xml:space="preserve">future development plans for leveraging these land assets </w:t>
      </w:r>
      <w:r w:rsidR="006927E4">
        <w:t>to support this objective</w:t>
      </w:r>
      <w:r w:rsidR="00FA28F2">
        <w:t>.</w:t>
      </w:r>
      <w:r w:rsidR="001B18B0">
        <w:br/>
      </w:r>
    </w:p>
    <w:p w14:paraId="04D026D2" w14:textId="4BEFEA89" w:rsidR="00536D5B" w:rsidRDefault="00536D5B" w:rsidP="00536D5B">
      <w:pPr>
        <w:pStyle w:val="ListParagraph"/>
        <w:numPr>
          <w:ilvl w:val="0"/>
          <w:numId w:val="0"/>
        </w:numPr>
        <w:ind w:left="360"/>
        <w:rPr>
          <w:b/>
          <w:bCs/>
          <w:i/>
          <w:iCs/>
        </w:rPr>
      </w:pPr>
      <w:r w:rsidRPr="00536D5B">
        <w:rPr>
          <w:b/>
          <w:bCs/>
          <w:i/>
          <w:iCs/>
        </w:rPr>
        <w:t xml:space="preserve">Recommendation 2:  </w:t>
      </w:r>
      <w:r w:rsidRPr="00536D5B">
        <w:rPr>
          <w:b/>
          <w:bCs/>
          <w:i/>
          <w:iCs/>
        </w:rPr>
        <w:t>That Council works with University of Oxford and Oxford Brookes University to ensure that their land holdings, including those located at or near city boundaries, are used effectively to meet unmet accommodation demands; and that Council encourages universities to share their plans for leveraging these land assets for this purpose.</w:t>
      </w:r>
    </w:p>
    <w:p w14:paraId="6B2145AA" w14:textId="77777777" w:rsidR="007D760C" w:rsidRPr="00FA28F2" w:rsidRDefault="007D760C" w:rsidP="00FA28F2">
      <w:pPr>
        <w:rPr>
          <w:color w:val="auto"/>
        </w:rPr>
      </w:pPr>
    </w:p>
    <w:p w14:paraId="767A89C2" w14:textId="77777777" w:rsidR="007D760C" w:rsidRPr="008E4D66" w:rsidRDefault="007D760C" w:rsidP="00427476">
      <w:pPr>
        <w:pStyle w:val="ListParagraph"/>
        <w:numPr>
          <w:ilvl w:val="0"/>
          <w:numId w:val="0"/>
        </w:numPr>
        <w:tabs>
          <w:tab w:val="clear" w:pos="426"/>
        </w:tabs>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427476">
            <w:pPr>
              <w:rPr>
                <w:b/>
                <w:color w:val="auto"/>
              </w:rPr>
            </w:pPr>
            <w:r w:rsidRPr="008E4D66">
              <w:rPr>
                <w:b/>
                <w:color w:val="auto"/>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3545A193" w:rsidR="00E87F7A" w:rsidRPr="008E4D66" w:rsidRDefault="000E4CAE" w:rsidP="00427476">
            <w:pPr>
              <w:rPr>
                <w:color w:val="auto"/>
              </w:rPr>
            </w:pPr>
            <w:r>
              <w:rPr>
                <w:color w:val="auto"/>
              </w:rPr>
              <w:t xml:space="preserve">Celeste </w:t>
            </w:r>
            <w:proofErr w:type="spellStart"/>
            <w:r>
              <w:rPr>
                <w:color w:val="auto"/>
              </w:rPr>
              <w:t>Reyeslao</w:t>
            </w:r>
            <w:proofErr w:type="spellEnd"/>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0AD1EA2B" w:rsidR="00E87F7A" w:rsidRPr="008E4D66" w:rsidRDefault="00EF2280" w:rsidP="00A46E98">
            <w:pPr>
              <w:rPr>
                <w:color w:val="auto"/>
              </w:rPr>
            </w:pPr>
            <w:r w:rsidRPr="008E4D66">
              <w:rPr>
                <w:color w:val="auto"/>
              </w:rPr>
              <w:t xml:space="preserve">Scrutiny </w:t>
            </w:r>
            <w:r w:rsidR="000E4CAE">
              <w:rPr>
                <w:color w:val="auto"/>
              </w:rPr>
              <w:t>and Governance Advisor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2E2F02D0" w:rsidR="00E87F7A" w:rsidRPr="008E4D66" w:rsidRDefault="000E4CAE" w:rsidP="005325E4">
            <w:pPr>
              <w:rPr>
                <w:color w:val="auto"/>
              </w:rPr>
            </w:pPr>
            <w:r>
              <w:rPr>
                <w:color w:val="auto"/>
              </w:rPr>
              <w:t>01865 252946</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26581C99" w:rsidR="00E87F7A" w:rsidRPr="008E4D66" w:rsidRDefault="006927E4" w:rsidP="00EF2280">
            <w:pPr>
              <w:rPr>
                <w:rStyle w:val="Hyperlink"/>
                <w:color w:val="auto"/>
              </w:rPr>
            </w:pPr>
            <w:hyperlink r:id="rId8" w:history="1">
              <w:r w:rsidR="000E4CAE" w:rsidRPr="00874829">
                <w:rPr>
                  <w:rStyle w:val="Hyperlink"/>
                </w:rPr>
                <w:t>creyeslao@oxford.gov.uk</w:t>
              </w:r>
            </w:hyperlink>
            <w:r w:rsidR="000E4CAE">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A476" w14:textId="77777777" w:rsidR="006A7B78" w:rsidRDefault="006A7B78" w:rsidP="004A6D2F">
      <w:r>
        <w:separator/>
      </w:r>
    </w:p>
  </w:endnote>
  <w:endnote w:type="continuationSeparator" w:id="0">
    <w:p w14:paraId="530261D2" w14:textId="77777777" w:rsidR="006A7B78" w:rsidRDefault="006A7B78"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195F" w14:textId="77777777" w:rsidR="006A7B78" w:rsidRDefault="006A7B78" w:rsidP="004A6D2F">
      <w:r>
        <w:separator/>
      </w:r>
    </w:p>
  </w:footnote>
  <w:footnote w:type="continuationSeparator" w:id="0">
    <w:p w14:paraId="0D3F4AC9" w14:textId="77777777" w:rsidR="006A7B78" w:rsidRDefault="006A7B78"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05A3A"/>
    <w:rsid w:val="000117D4"/>
    <w:rsid w:val="00017BD4"/>
    <w:rsid w:val="00025603"/>
    <w:rsid w:val="00040495"/>
    <w:rsid w:val="00045250"/>
    <w:rsid w:val="00045F8B"/>
    <w:rsid w:val="00046D2B"/>
    <w:rsid w:val="00056263"/>
    <w:rsid w:val="00064D8A"/>
    <w:rsid w:val="00064F82"/>
    <w:rsid w:val="00066510"/>
    <w:rsid w:val="00077523"/>
    <w:rsid w:val="00094E51"/>
    <w:rsid w:val="000A2D16"/>
    <w:rsid w:val="000C089F"/>
    <w:rsid w:val="000C237A"/>
    <w:rsid w:val="000C3099"/>
    <w:rsid w:val="000C3928"/>
    <w:rsid w:val="000C5E8E"/>
    <w:rsid w:val="000C7504"/>
    <w:rsid w:val="000D70CD"/>
    <w:rsid w:val="000E4CAE"/>
    <w:rsid w:val="000F4751"/>
    <w:rsid w:val="00103DAD"/>
    <w:rsid w:val="0010524C"/>
    <w:rsid w:val="00111FB1"/>
    <w:rsid w:val="00113418"/>
    <w:rsid w:val="0011365B"/>
    <w:rsid w:val="00122A46"/>
    <w:rsid w:val="001356F1"/>
    <w:rsid w:val="00136994"/>
    <w:rsid w:val="0014128E"/>
    <w:rsid w:val="00141EE6"/>
    <w:rsid w:val="001437B2"/>
    <w:rsid w:val="00151888"/>
    <w:rsid w:val="00152DCC"/>
    <w:rsid w:val="00152EFF"/>
    <w:rsid w:val="00154B22"/>
    <w:rsid w:val="001562E7"/>
    <w:rsid w:val="00170A2D"/>
    <w:rsid w:val="001808BC"/>
    <w:rsid w:val="00182B81"/>
    <w:rsid w:val="0018619D"/>
    <w:rsid w:val="001A011E"/>
    <w:rsid w:val="001A066A"/>
    <w:rsid w:val="001A13E6"/>
    <w:rsid w:val="001A5731"/>
    <w:rsid w:val="001B18B0"/>
    <w:rsid w:val="001B42C3"/>
    <w:rsid w:val="001C5D5E"/>
    <w:rsid w:val="001D14DE"/>
    <w:rsid w:val="001D678D"/>
    <w:rsid w:val="001D75D1"/>
    <w:rsid w:val="001E03F8"/>
    <w:rsid w:val="001E3376"/>
    <w:rsid w:val="001E6519"/>
    <w:rsid w:val="001F0C5E"/>
    <w:rsid w:val="001F6D87"/>
    <w:rsid w:val="002069B3"/>
    <w:rsid w:val="0021759A"/>
    <w:rsid w:val="0022150D"/>
    <w:rsid w:val="002259F9"/>
    <w:rsid w:val="002329CF"/>
    <w:rsid w:val="00232F5B"/>
    <w:rsid w:val="00234D97"/>
    <w:rsid w:val="00237510"/>
    <w:rsid w:val="00237A21"/>
    <w:rsid w:val="002459FB"/>
    <w:rsid w:val="00247C29"/>
    <w:rsid w:val="00260467"/>
    <w:rsid w:val="00263EA3"/>
    <w:rsid w:val="00284F85"/>
    <w:rsid w:val="00290915"/>
    <w:rsid w:val="002A22E2"/>
    <w:rsid w:val="002B50B0"/>
    <w:rsid w:val="002C1B23"/>
    <w:rsid w:val="002C64F7"/>
    <w:rsid w:val="002D4FE3"/>
    <w:rsid w:val="002F3E87"/>
    <w:rsid w:val="002F41F2"/>
    <w:rsid w:val="00301BF3"/>
    <w:rsid w:val="0030208D"/>
    <w:rsid w:val="00303C96"/>
    <w:rsid w:val="00323418"/>
    <w:rsid w:val="003357BF"/>
    <w:rsid w:val="00337348"/>
    <w:rsid w:val="00343835"/>
    <w:rsid w:val="00364FAD"/>
    <w:rsid w:val="0036738F"/>
    <w:rsid w:val="0036759C"/>
    <w:rsid w:val="00367AE5"/>
    <w:rsid w:val="00367D71"/>
    <w:rsid w:val="0038150A"/>
    <w:rsid w:val="003B6E75"/>
    <w:rsid w:val="003B7DA1"/>
    <w:rsid w:val="003D0218"/>
    <w:rsid w:val="003D0379"/>
    <w:rsid w:val="003D2574"/>
    <w:rsid w:val="003D4C59"/>
    <w:rsid w:val="003F24CA"/>
    <w:rsid w:val="003F4267"/>
    <w:rsid w:val="00400522"/>
    <w:rsid w:val="00404032"/>
    <w:rsid w:val="0040736F"/>
    <w:rsid w:val="00410E3C"/>
    <w:rsid w:val="00412C1F"/>
    <w:rsid w:val="00421CB2"/>
    <w:rsid w:val="004268B9"/>
    <w:rsid w:val="00427476"/>
    <w:rsid w:val="00433B96"/>
    <w:rsid w:val="004440F1"/>
    <w:rsid w:val="004456DD"/>
    <w:rsid w:val="00446CDF"/>
    <w:rsid w:val="004521B7"/>
    <w:rsid w:val="00462AB5"/>
    <w:rsid w:val="00465EAF"/>
    <w:rsid w:val="004738C5"/>
    <w:rsid w:val="00491046"/>
    <w:rsid w:val="004A03E8"/>
    <w:rsid w:val="004A2AC7"/>
    <w:rsid w:val="004A6D2F"/>
    <w:rsid w:val="004A7990"/>
    <w:rsid w:val="004B1479"/>
    <w:rsid w:val="004B16CB"/>
    <w:rsid w:val="004B5EC0"/>
    <w:rsid w:val="004C2887"/>
    <w:rsid w:val="004C2D2E"/>
    <w:rsid w:val="004C3163"/>
    <w:rsid w:val="004C5F76"/>
    <w:rsid w:val="004D2626"/>
    <w:rsid w:val="004D6E26"/>
    <w:rsid w:val="004D77D3"/>
    <w:rsid w:val="004E1FE5"/>
    <w:rsid w:val="004E26E4"/>
    <w:rsid w:val="004E2959"/>
    <w:rsid w:val="004E6599"/>
    <w:rsid w:val="004F01EC"/>
    <w:rsid w:val="004F20EF"/>
    <w:rsid w:val="004F5FBE"/>
    <w:rsid w:val="0050321C"/>
    <w:rsid w:val="00520C75"/>
    <w:rsid w:val="005325E4"/>
    <w:rsid w:val="00536D5B"/>
    <w:rsid w:val="00537D0F"/>
    <w:rsid w:val="005413D2"/>
    <w:rsid w:val="0054712D"/>
    <w:rsid w:val="00547EF6"/>
    <w:rsid w:val="00550255"/>
    <w:rsid w:val="005570B5"/>
    <w:rsid w:val="005672D1"/>
    <w:rsid w:val="00567E18"/>
    <w:rsid w:val="00575F5F"/>
    <w:rsid w:val="005761F5"/>
    <w:rsid w:val="00581805"/>
    <w:rsid w:val="00584B9C"/>
    <w:rsid w:val="00585F76"/>
    <w:rsid w:val="005A34E4"/>
    <w:rsid w:val="005B17F2"/>
    <w:rsid w:val="005B7FB0"/>
    <w:rsid w:val="005C35A5"/>
    <w:rsid w:val="005C577C"/>
    <w:rsid w:val="005D0621"/>
    <w:rsid w:val="005D1E27"/>
    <w:rsid w:val="005D2A3E"/>
    <w:rsid w:val="005E022E"/>
    <w:rsid w:val="005E0CC7"/>
    <w:rsid w:val="005E5215"/>
    <w:rsid w:val="005E763E"/>
    <w:rsid w:val="005F7F7E"/>
    <w:rsid w:val="00614693"/>
    <w:rsid w:val="00614DA1"/>
    <w:rsid w:val="0062278B"/>
    <w:rsid w:val="00623C2F"/>
    <w:rsid w:val="00633578"/>
    <w:rsid w:val="00634776"/>
    <w:rsid w:val="00637068"/>
    <w:rsid w:val="006465F2"/>
    <w:rsid w:val="00650811"/>
    <w:rsid w:val="00661D3E"/>
    <w:rsid w:val="006902C0"/>
    <w:rsid w:val="00692627"/>
    <w:rsid w:val="006927E4"/>
    <w:rsid w:val="006941FC"/>
    <w:rsid w:val="006969E7"/>
    <w:rsid w:val="006A3643"/>
    <w:rsid w:val="006A4FE8"/>
    <w:rsid w:val="006A6A71"/>
    <w:rsid w:val="006A7B78"/>
    <w:rsid w:val="006C2A29"/>
    <w:rsid w:val="006C64CF"/>
    <w:rsid w:val="006D17B1"/>
    <w:rsid w:val="006D4752"/>
    <w:rsid w:val="006D51A2"/>
    <w:rsid w:val="006D708A"/>
    <w:rsid w:val="006E14C1"/>
    <w:rsid w:val="006E76A0"/>
    <w:rsid w:val="006F0292"/>
    <w:rsid w:val="006F27FA"/>
    <w:rsid w:val="006F416B"/>
    <w:rsid w:val="006F519B"/>
    <w:rsid w:val="00712C94"/>
    <w:rsid w:val="00713675"/>
    <w:rsid w:val="0071501A"/>
    <w:rsid w:val="00715823"/>
    <w:rsid w:val="00727B92"/>
    <w:rsid w:val="0073565D"/>
    <w:rsid w:val="007379B6"/>
    <w:rsid w:val="00737B93"/>
    <w:rsid w:val="007449F4"/>
    <w:rsid w:val="00745BF0"/>
    <w:rsid w:val="007513C8"/>
    <w:rsid w:val="007615FE"/>
    <w:rsid w:val="007617EA"/>
    <w:rsid w:val="0076655C"/>
    <w:rsid w:val="00767F25"/>
    <w:rsid w:val="00770C4C"/>
    <w:rsid w:val="00772142"/>
    <w:rsid w:val="007742DC"/>
    <w:rsid w:val="0078156F"/>
    <w:rsid w:val="007837AA"/>
    <w:rsid w:val="00790788"/>
    <w:rsid w:val="00791437"/>
    <w:rsid w:val="007A7A70"/>
    <w:rsid w:val="007B0C2C"/>
    <w:rsid w:val="007B1F95"/>
    <w:rsid w:val="007B278E"/>
    <w:rsid w:val="007C5C23"/>
    <w:rsid w:val="007D760C"/>
    <w:rsid w:val="007E2A26"/>
    <w:rsid w:val="007F2348"/>
    <w:rsid w:val="007F4787"/>
    <w:rsid w:val="00801F13"/>
    <w:rsid w:val="00803F07"/>
    <w:rsid w:val="008041F4"/>
    <w:rsid w:val="0080749A"/>
    <w:rsid w:val="0082136A"/>
    <w:rsid w:val="00821FB8"/>
    <w:rsid w:val="00822ACD"/>
    <w:rsid w:val="00852995"/>
    <w:rsid w:val="00855C66"/>
    <w:rsid w:val="00860868"/>
    <w:rsid w:val="00871EE4"/>
    <w:rsid w:val="008A03AB"/>
    <w:rsid w:val="008B293F"/>
    <w:rsid w:val="008B49EB"/>
    <w:rsid w:val="008B7371"/>
    <w:rsid w:val="008D3D20"/>
    <w:rsid w:val="008D3DDB"/>
    <w:rsid w:val="008E4D66"/>
    <w:rsid w:val="008E5021"/>
    <w:rsid w:val="008F3A4D"/>
    <w:rsid w:val="008F573F"/>
    <w:rsid w:val="008F5B20"/>
    <w:rsid w:val="008F6E82"/>
    <w:rsid w:val="009034EC"/>
    <w:rsid w:val="00904236"/>
    <w:rsid w:val="0093067A"/>
    <w:rsid w:val="009377F9"/>
    <w:rsid w:val="00941C60"/>
    <w:rsid w:val="00963F35"/>
    <w:rsid w:val="00966D42"/>
    <w:rsid w:val="00971689"/>
    <w:rsid w:val="00973E90"/>
    <w:rsid w:val="00975B07"/>
    <w:rsid w:val="00980B4A"/>
    <w:rsid w:val="00984E13"/>
    <w:rsid w:val="00990ADC"/>
    <w:rsid w:val="009C3FAF"/>
    <w:rsid w:val="009E3D0A"/>
    <w:rsid w:val="009E51FC"/>
    <w:rsid w:val="009F1D28"/>
    <w:rsid w:val="009F7618"/>
    <w:rsid w:val="009F778C"/>
    <w:rsid w:val="00A038B8"/>
    <w:rsid w:val="00A04D23"/>
    <w:rsid w:val="00A05C02"/>
    <w:rsid w:val="00A06766"/>
    <w:rsid w:val="00A07B13"/>
    <w:rsid w:val="00A1053F"/>
    <w:rsid w:val="00A13765"/>
    <w:rsid w:val="00A211CB"/>
    <w:rsid w:val="00A21B12"/>
    <w:rsid w:val="00A23F80"/>
    <w:rsid w:val="00A46E98"/>
    <w:rsid w:val="00A54BFB"/>
    <w:rsid w:val="00A6352B"/>
    <w:rsid w:val="00A701B5"/>
    <w:rsid w:val="00A714BB"/>
    <w:rsid w:val="00A737E1"/>
    <w:rsid w:val="00A76186"/>
    <w:rsid w:val="00A81C9D"/>
    <w:rsid w:val="00A92D8F"/>
    <w:rsid w:val="00A95C42"/>
    <w:rsid w:val="00AA5B59"/>
    <w:rsid w:val="00AB2988"/>
    <w:rsid w:val="00AB7999"/>
    <w:rsid w:val="00AD3292"/>
    <w:rsid w:val="00AD5DFC"/>
    <w:rsid w:val="00AE194D"/>
    <w:rsid w:val="00AE45B1"/>
    <w:rsid w:val="00AE7AF0"/>
    <w:rsid w:val="00AF1A8B"/>
    <w:rsid w:val="00B0050F"/>
    <w:rsid w:val="00B1273B"/>
    <w:rsid w:val="00B269BE"/>
    <w:rsid w:val="00B3545A"/>
    <w:rsid w:val="00B500CA"/>
    <w:rsid w:val="00B5202F"/>
    <w:rsid w:val="00B65046"/>
    <w:rsid w:val="00B658A7"/>
    <w:rsid w:val="00B65FDA"/>
    <w:rsid w:val="00B86314"/>
    <w:rsid w:val="00B90B3E"/>
    <w:rsid w:val="00BA1C2E"/>
    <w:rsid w:val="00BA2546"/>
    <w:rsid w:val="00BB34D9"/>
    <w:rsid w:val="00BC200B"/>
    <w:rsid w:val="00BC4756"/>
    <w:rsid w:val="00BC5B8F"/>
    <w:rsid w:val="00BC69A4"/>
    <w:rsid w:val="00BD2DA6"/>
    <w:rsid w:val="00BE0680"/>
    <w:rsid w:val="00BE305F"/>
    <w:rsid w:val="00BE7BA3"/>
    <w:rsid w:val="00BF5682"/>
    <w:rsid w:val="00BF7B09"/>
    <w:rsid w:val="00C03270"/>
    <w:rsid w:val="00C10333"/>
    <w:rsid w:val="00C20A95"/>
    <w:rsid w:val="00C24717"/>
    <w:rsid w:val="00C2692F"/>
    <w:rsid w:val="00C27EDA"/>
    <w:rsid w:val="00C31933"/>
    <w:rsid w:val="00C3207C"/>
    <w:rsid w:val="00C400E1"/>
    <w:rsid w:val="00C41187"/>
    <w:rsid w:val="00C5162B"/>
    <w:rsid w:val="00C63C31"/>
    <w:rsid w:val="00C744C9"/>
    <w:rsid w:val="00C757A0"/>
    <w:rsid w:val="00C760DE"/>
    <w:rsid w:val="00C76EE3"/>
    <w:rsid w:val="00C82630"/>
    <w:rsid w:val="00C84163"/>
    <w:rsid w:val="00C85B4E"/>
    <w:rsid w:val="00C87E56"/>
    <w:rsid w:val="00C907F7"/>
    <w:rsid w:val="00C938BD"/>
    <w:rsid w:val="00CA1A1D"/>
    <w:rsid w:val="00CA2103"/>
    <w:rsid w:val="00CB0388"/>
    <w:rsid w:val="00CB6B99"/>
    <w:rsid w:val="00CC422A"/>
    <w:rsid w:val="00CC727E"/>
    <w:rsid w:val="00CD7D8E"/>
    <w:rsid w:val="00CE4C87"/>
    <w:rsid w:val="00CE544A"/>
    <w:rsid w:val="00CE72D5"/>
    <w:rsid w:val="00D059A9"/>
    <w:rsid w:val="00D06005"/>
    <w:rsid w:val="00D11E1C"/>
    <w:rsid w:val="00D13E7C"/>
    <w:rsid w:val="00D160B0"/>
    <w:rsid w:val="00D17664"/>
    <w:rsid w:val="00D17F94"/>
    <w:rsid w:val="00D202E2"/>
    <w:rsid w:val="00D223FC"/>
    <w:rsid w:val="00D26D1E"/>
    <w:rsid w:val="00D46194"/>
    <w:rsid w:val="00D474CF"/>
    <w:rsid w:val="00D5547E"/>
    <w:rsid w:val="00D63062"/>
    <w:rsid w:val="00D64D4E"/>
    <w:rsid w:val="00D806E3"/>
    <w:rsid w:val="00D869A1"/>
    <w:rsid w:val="00D9194E"/>
    <w:rsid w:val="00D957B3"/>
    <w:rsid w:val="00DA413F"/>
    <w:rsid w:val="00DA4584"/>
    <w:rsid w:val="00DA614B"/>
    <w:rsid w:val="00DB070F"/>
    <w:rsid w:val="00DB4DCA"/>
    <w:rsid w:val="00DB6F76"/>
    <w:rsid w:val="00DC3060"/>
    <w:rsid w:val="00DE0FB2"/>
    <w:rsid w:val="00DF093E"/>
    <w:rsid w:val="00E01F42"/>
    <w:rsid w:val="00E076BD"/>
    <w:rsid w:val="00E206D6"/>
    <w:rsid w:val="00E3366E"/>
    <w:rsid w:val="00E402B3"/>
    <w:rsid w:val="00E45717"/>
    <w:rsid w:val="00E52086"/>
    <w:rsid w:val="00E543A6"/>
    <w:rsid w:val="00E60479"/>
    <w:rsid w:val="00E61D73"/>
    <w:rsid w:val="00E715EF"/>
    <w:rsid w:val="00E73684"/>
    <w:rsid w:val="00E818D6"/>
    <w:rsid w:val="00E87F7A"/>
    <w:rsid w:val="00E96BD7"/>
    <w:rsid w:val="00E97751"/>
    <w:rsid w:val="00EA0DB1"/>
    <w:rsid w:val="00EA0EE9"/>
    <w:rsid w:val="00EB21F4"/>
    <w:rsid w:val="00EC27A2"/>
    <w:rsid w:val="00ED52CA"/>
    <w:rsid w:val="00ED5860"/>
    <w:rsid w:val="00EE35C9"/>
    <w:rsid w:val="00EE4829"/>
    <w:rsid w:val="00EF2280"/>
    <w:rsid w:val="00F05ECA"/>
    <w:rsid w:val="00F27567"/>
    <w:rsid w:val="00F3469D"/>
    <w:rsid w:val="00F3566E"/>
    <w:rsid w:val="00F375FB"/>
    <w:rsid w:val="00F4031E"/>
    <w:rsid w:val="00F41AC1"/>
    <w:rsid w:val="00F4367A"/>
    <w:rsid w:val="00F44163"/>
    <w:rsid w:val="00F445B1"/>
    <w:rsid w:val="00F45CD4"/>
    <w:rsid w:val="00F46ABF"/>
    <w:rsid w:val="00F66DCA"/>
    <w:rsid w:val="00F672BA"/>
    <w:rsid w:val="00F7173C"/>
    <w:rsid w:val="00F724E6"/>
    <w:rsid w:val="00F748C7"/>
    <w:rsid w:val="00F74F53"/>
    <w:rsid w:val="00F7606D"/>
    <w:rsid w:val="00F81670"/>
    <w:rsid w:val="00F82024"/>
    <w:rsid w:val="00F82A62"/>
    <w:rsid w:val="00F94A4F"/>
    <w:rsid w:val="00F95BC9"/>
    <w:rsid w:val="00FA28F2"/>
    <w:rsid w:val="00FA624C"/>
    <w:rsid w:val="00FC0B4D"/>
    <w:rsid w:val="00FD0370"/>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B8F"/>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yeslao@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681</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4905</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REYESLAO Celeste</cp:lastModifiedBy>
  <cp:revision>135</cp:revision>
  <cp:lastPrinted>2018-04-09T10:50:00Z</cp:lastPrinted>
  <dcterms:created xsi:type="dcterms:W3CDTF">2024-02-01T11:03:00Z</dcterms:created>
  <dcterms:modified xsi:type="dcterms:W3CDTF">2024-12-03T16:16:00Z</dcterms:modified>
</cp:coreProperties>
</file>